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B6F0" w14:textId="77777777" w:rsidR="00437432" w:rsidRDefault="00C913B9">
      <w:pPr>
        <w:pStyle w:val="BodyText"/>
        <w:ind w:left="2968"/>
        <w:rPr>
          <w:rFonts w:ascii="Times New Roman"/>
        </w:rPr>
      </w:pPr>
      <w:r>
        <w:rPr>
          <w:rFonts w:ascii="Times New Roman"/>
          <w:noProof/>
          <w:lang w:val="en-US" w:eastAsia="en-US" w:bidi="ar-SA"/>
        </w:rPr>
        <w:drawing>
          <wp:inline distT="0" distB="0" distL="0" distR="0" wp14:anchorId="53FE97E0" wp14:editId="69153ECC">
            <wp:extent cx="2760902"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0902" cy="576072"/>
                    </a:xfrm>
                    <a:prstGeom prst="rect">
                      <a:avLst/>
                    </a:prstGeom>
                  </pic:spPr>
                </pic:pic>
              </a:graphicData>
            </a:graphic>
          </wp:inline>
        </w:drawing>
      </w:r>
    </w:p>
    <w:p w14:paraId="7C0AFBB0" w14:textId="4CA84941" w:rsidR="00437432" w:rsidRPr="00CF194E" w:rsidRDefault="00CF194E">
      <w:pPr>
        <w:spacing w:before="12"/>
        <w:ind w:left="3074"/>
        <w:rPr>
          <w:b/>
          <w:sz w:val="40"/>
          <w:lang w:val="fr-CA"/>
        </w:rPr>
      </w:pPr>
      <w:r w:rsidRPr="00CF194E">
        <w:rPr>
          <w:b/>
          <w:sz w:val="40"/>
          <w:lang w:val="fr-CA"/>
        </w:rPr>
        <w:t>Politique de conflit</w:t>
      </w:r>
      <w:r>
        <w:rPr>
          <w:b/>
          <w:sz w:val="40"/>
          <w:lang w:val="fr-CA"/>
        </w:rPr>
        <w:t>s</w:t>
      </w:r>
      <w:r w:rsidRPr="00CF194E">
        <w:rPr>
          <w:b/>
          <w:sz w:val="40"/>
          <w:lang w:val="fr-CA"/>
        </w:rPr>
        <w:t xml:space="preserve"> d’intérêt</w:t>
      </w:r>
      <w:r>
        <w:rPr>
          <w:b/>
          <w:sz w:val="40"/>
          <w:lang w:val="fr-CA"/>
        </w:rPr>
        <w:t>s</w:t>
      </w:r>
    </w:p>
    <w:p w14:paraId="4C667B5C" w14:textId="77777777" w:rsidR="00437432" w:rsidRPr="00CF194E" w:rsidRDefault="00437432">
      <w:pPr>
        <w:pStyle w:val="BodyText"/>
        <w:spacing w:before="2"/>
        <w:rPr>
          <w:b/>
          <w:sz w:val="17"/>
          <w:lang w:val="fr-CA"/>
        </w:rPr>
      </w:pPr>
    </w:p>
    <w:p w14:paraId="12974BF8" w14:textId="246C501F" w:rsidR="00437432" w:rsidRPr="00CF194E" w:rsidRDefault="00B86D23" w:rsidP="00E855CE">
      <w:pPr>
        <w:pStyle w:val="BodyText"/>
        <w:spacing w:before="59"/>
        <w:ind w:left="90" w:firstLine="30"/>
        <w:rPr>
          <w:lang w:val="fr-CA"/>
        </w:rPr>
      </w:pPr>
      <w:r>
        <w:rPr>
          <w:lang w:val="fr-CA"/>
        </w:rPr>
        <w:t>FONDEMENT</w:t>
      </w:r>
      <w:bookmarkStart w:id="0" w:name="_GoBack"/>
      <w:bookmarkEnd w:id="0"/>
      <w:r w:rsidR="00C913B9" w:rsidRPr="00CF194E">
        <w:rPr>
          <w:lang w:val="fr-CA"/>
        </w:rPr>
        <w:t xml:space="preserve">: OSGA 55+ </w:t>
      </w:r>
      <w:r w:rsidR="00CF194E" w:rsidRPr="00CF194E">
        <w:rPr>
          <w:lang w:val="fr-CA"/>
        </w:rPr>
        <w:t>RÈGLEMENTS ADMINISTRATIFS</w:t>
      </w:r>
      <w:r w:rsidR="00C913B9" w:rsidRPr="00CF194E">
        <w:rPr>
          <w:lang w:val="fr-CA"/>
        </w:rPr>
        <w:t xml:space="preserve"> – ARTICLE</w:t>
      </w:r>
      <w:r w:rsidR="00884B20">
        <w:rPr>
          <w:lang w:val="fr-CA"/>
        </w:rPr>
        <w:t> </w:t>
      </w:r>
      <w:r w:rsidR="00C913B9" w:rsidRPr="00CF194E">
        <w:rPr>
          <w:lang w:val="fr-CA"/>
        </w:rPr>
        <w:t>VII</w:t>
      </w:r>
      <w:r w:rsidR="00884B20">
        <w:rPr>
          <w:lang w:val="fr-CA"/>
        </w:rPr>
        <w:t> </w:t>
      </w:r>
      <w:r w:rsidR="00C913B9" w:rsidRPr="00CF194E">
        <w:rPr>
          <w:lang w:val="fr-CA"/>
        </w:rPr>
        <w:t>: CONFL</w:t>
      </w:r>
      <w:r w:rsidR="00CF194E" w:rsidRPr="00CF194E">
        <w:rPr>
          <w:lang w:val="fr-CA"/>
        </w:rPr>
        <w:t>I</w:t>
      </w:r>
      <w:r w:rsidR="00CF194E">
        <w:rPr>
          <w:lang w:val="fr-CA"/>
        </w:rPr>
        <w:t>TS D’INTÉRÊTS</w:t>
      </w:r>
    </w:p>
    <w:p w14:paraId="514A30E0" w14:textId="77777777" w:rsidR="00437432" w:rsidRPr="00CF194E" w:rsidRDefault="00437432">
      <w:pPr>
        <w:pStyle w:val="BodyText"/>
        <w:spacing w:before="2"/>
        <w:rPr>
          <w:lang w:val="fr-CA"/>
        </w:rPr>
      </w:pPr>
    </w:p>
    <w:p w14:paraId="4794DDE0" w14:textId="7E95DB0F" w:rsidR="00437432" w:rsidRDefault="00CF194E" w:rsidP="00CF194E">
      <w:pPr>
        <w:pStyle w:val="BodyText"/>
        <w:ind w:left="90" w:right="194" w:firstLine="29"/>
        <w:jc w:val="both"/>
        <w:rPr>
          <w:lang w:val="fr-CA"/>
        </w:rPr>
      </w:pPr>
      <w:r>
        <w:rPr>
          <w:lang w:val="fr-CA"/>
        </w:rPr>
        <w:t>7.1</w:t>
      </w:r>
      <w:r w:rsidR="00884B20">
        <w:rPr>
          <w:lang w:val="fr-CA"/>
        </w:rPr>
        <w:t> </w:t>
      </w:r>
      <w:r w:rsidR="00C913B9" w:rsidRPr="00CF194E">
        <w:rPr>
          <w:lang w:val="fr-CA"/>
        </w:rPr>
        <w:t xml:space="preserve">: </w:t>
      </w:r>
      <w:r w:rsidRPr="00CF194E">
        <w:rPr>
          <w:lang w:val="fr-CA"/>
        </w:rPr>
        <w:t>Conformément à la Loi</w:t>
      </w:r>
      <w:r w:rsidR="008A3000">
        <w:rPr>
          <w:lang w:val="fr-CA"/>
        </w:rPr>
        <w:t>;</w:t>
      </w:r>
      <w:r w:rsidRPr="00CF194E">
        <w:rPr>
          <w:lang w:val="fr-CA"/>
        </w:rPr>
        <w:t xml:space="preserve"> </w:t>
      </w:r>
      <w:r w:rsidRPr="004D2C5B">
        <w:rPr>
          <w:lang w:val="fr-CA"/>
        </w:rPr>
        <w:t>u</w:t>
      </w:r>
      <w:r>
        <w:rPr>
          <w:lang w:val="fr-CA"/>
        </w:rPr>
        <w:t>n</w:t>
      </w:r>
      <w:r w:rsidRPr="004D2C5B">
        <w:rPr>
          <w:lang w:val="fr-CA"/>
        </w:rPr>
        <w:t xml:space="preserve"> administrateur, un membre de la direction ou un district membre d’un comité </w:t>
      </w:r>
      <w:r w:rsidR="009637EA">
        <w:rPr>
          <w:lang w:val="fr-CA"/>
        </w:rPr>
        <w:t>ayant</w:t>
      </w:r>
      <w:r w:rsidR="008A3000">
        <w:rPr>
          <w:lang w:val="fr-CA"/>
        </w:rPr>
        <w:t xml:space="preserve"> </w:t>
      </w:r>
      <w:r w:rsidR="009637EA">
        <w:rPr>
          <w:lang w:val="fr-CA"/>
        </w:rPr>
        <w:t xml:space="preserve">un </w:t>
      </w:r>
      <w:r w:rsidRPr="004D2C5B">
        <w:rPr>
          <w:lang w:val="fr-CA"/>
        </w:rPr>
        <w:t xml:space="preserve">intérêt ou </w:t>
      </w:r>
      <w:r w:rsidR="009637EA">
        <w:rPr>
          <w:lang w:val="fr-CA"/>
        </w:rPr>
        <w:t>étant</w:t>
      </w:r>
      <w:r w:rsidRPr="004D2C5B">
        <w:rPr>
          <w:lang w:val="fr-CA"/>
        </w:rPr>
        <w:t xml:space="preserve"> perçu comme ayant un intérêt dans un contrat ou une transaction proposée à la </w:t>
      </w:r>
      <w:r>
        <w:rPr>
          <w:lang w:val="fr-CA"/>
        </w:rPr>
        <w:t>Société</w:t>
      </w:r>
      <w:r w:rsidRPr="004D2C5B">
        <w:rPr>
          <w:lang w:val="fr-CA"/>
        </w:rPr>
        <w:t xml:space="preserve"> doit se conformer à la Loi ou à la politique de conflits d’intérêt</w:t>
      </w:r>
      <w:r w:rsidR="009637EA">
        <w:rPr>
          <w:lang w:val="fr-CA"/>
        </w:rPr>
        <w:t>s</w:t>
      </w:r>
      <w:r w:rsidRPr="004D2C5B">
        <w:rPr>
          <w:lang w:val="fr-CA"/>
        </w:rPr>
        <w:t xml:space="preserve"> de la </w:t>
      </w:r>
      <w:r>
        <w:rPr>
          <w:lang w:val="fr-CA"/>
        </w:rPr>
        <w:t>Société</w:t>
      </w:r>
      <w:r w:rsidRPr="004D2C5B">
        <w:rPr>
          <w:lang w:val="fr-CA"/>
        </w:rPr>
        <w:t xml:space="preserve"> et doit divulguer pleinement et rapidement la nature et l’étendue de ses intérêts conflictuels au conseil ou au comité, le cas échéant, s’abstiendra de voter ou de prendre parole dans un débat concernant le contrat ou la transaction en question; et par ailleurs, satisfaire aux exigences de la Loi relative au</w:t>
      </w:r>
      <w:r>
        <w:rPr>
          <w:lang w:val="fr-CA"/>
        </w:rPr>
        <w:t>x</w:t>
      </w:r>
      <w:r w:rsidRPr="004D2C5B">
        <w:rPr>
          <w:lang w:val="fr-CA"/>
        </w:rPr>
        <w:t xml:space="preserve"> conflit</w:t>
      </w:r>
      <w:r>
        <w:rPr>
          <w:lang w:val="fr-CA"/>
        </w:rPr>
        <w:t>s</w:t>
      </w:r>
      <w:r w:rsidRPr="004D2C5B">
        <w:rPr>
          <w:lang w:val="fr-CA"/>
        </w:rPr>
        <w:t xml:space="preserve"> d’intérêt</w:t>
      </w:r>
      <w:r>
        <w:rPr>
          <w:lang w:val="fr-CA"/>
        </w:rPr>
        <w:t>s</w:t>
      </w:r>
      <w:r w:rsidRPr="004D2C5B">
        <w:rPr>
          <w:lang w:val="fr-CA"/>
        </w:rPr>
        <w:t xml:space="preserve">.  </w:t>
      </w:r>
    </w:p>
    <w:p w14:paraId="5D68BA26" w14:textId="77777777" w:rsidR="00CF194E" w:rsidRPr="00CF194E" w:rsidRDefault="00CF194E" w:rsidP="00CF194E">
      <w:pPr>
        <w:pStyle w:val="BodyText"/>
        <w:tabs>
          <w:tab w:val="left" w:pos="931"/>
        </w:tabs>
        <w:ind w:left="931" w:right="194" w:hanging="812"/>
        <w:jc w:val="both"/>
        <w:rPr>
          <w:lang w:val="fr-CA"/>
        </w:rPr>
      </w:pPr>
    </w:p>
    <w:p w14:paraId="3510C167" w14:textId="2995E66C" w:rsidR="00437432" w:rsidRPr="00760621" w:rsidRDefault="00CF194E">
      <w:pPr>
        <w:pStyle w:val="BodyText"/>
        <w:ind w:left="119" w:right="172"/>
        <w:rPr>
          <w:lang w:val="fr-CA"/>
        </w:rPr>
      </w:pPr>
      <w:r w:rsidRPr="00760621">
        <w:rPr>
          <w:lang w:val="fr-CA"/>
        </w:rPr>
        <w:t xml:space="preserve">Cette politique </w:t>
      </w:r>
      <w:r w:rsidR="00760621" w:rsidRPr="00760621">
        <w:rPr>
          <w:lang w:val="fr-CA"/>
        </w:rPr>
        <w:t>favorise l’idée que tous les membres et les memb</w:t>
      </w:r>
      <w:r w:rsidR="00760621">
        <w:rPr>
          <w:lang w:val="fr-CA"/>
        </w:rPr>
        <w:t>re</w:t>
      </w:r>
      <w:r w:rsidR="00760621" w:rsidRPr="00760621">
        <w:rPr>
          <w:lang w:val="fr-CA"/>
        </w:rPr>
        <w:t>s du personnel visent la poursuite de la mission et des ob</w:t>
      </w:r>
      <w:r w:rsidR="00760621">
        <w:rPr>
          <w:lang w:val="fr-CA"/>
        </w:rPr>
        <w:t>j</w:t>
      </w:r>
      <w:r w:rsidR="00760621" w:rsidRPr="00760621">
        <w:rPr>
          <w:lang w:val="fr-CA"/>
        </w:rPr>
        <w:t xml:space="preserve">ectifs d’OSGA d’agir </w:t>
      </w:r>
      <w:r w:rsidR="00760621">
        <w:rPr>
          <w:lang w:val="fr-CA"/>
        </w:rPr>
        <w:t>dans l’intérêt de ses membres</w:t>
      </w:r>
      <w:r w:rsidR="00C913B9" w:rsidRPr="00760621">
        <w:rPr>
          <w:lang w:val="fr-CA"/>
        </w:rPr>
        <w:t>.</w:t>
      </w:r>
    </w:p>
    <w:p w14:paraId="5ED85CE4" w14:textId="77777777" w:rsidR="00437432" w:rsidRPr="00760621" w:rsidRDefault="00437432">
      <w:pPr>
        <w:pStyle w:val="BodyText"/>
        <w:spacing w:before="11"/>
        <w:rPr>
          <w:sz w:val="19"/>
          <w:lang w:val="fr-CA"/>
        </w:rPr>
      </w:pPr>
    </w:p>
    <w:p w14:paraId="2D7073D1" w14:textId="6E2AA66C" w:rsidR="00437432" w:rsidRPr="00993A43" w:rsidRDefault="00E84459">
      <w:pPr>
        <w:pStyle w:val="BodyText"/>
        <w:spacing w:before="1"/>
        <w:ind w:left="119" w:right="81"/>
        <w:rPr>
          <w:lang w:val="fr-CA"/>
        </w:rPr>
      </w:pPr>
      <w:r w:rsidRPr="00E84459">
        <w:rPr>
          <w:lang w:val="fr-CA"/>
        </w:rPr>
        <w:t>U</w:t>
      </w:r>
      <w:r w:rsidR="00993A43">
        <w:rPr>
          <w:lang w:val="fr-CA"/>
        </w:rPr>
        <w:t>n</w:t>
      </w:r>
      <w:r w:rsidRPr="00E84459">
        <w:rPr>
          <w:lang w:val="fr-CA"/>
        </w:rPr>
        <w:t xml:space="preserve"> </w:t>
      </w:r>
      <w:r w:rsidR="00993A43" w:rsidRPr="00E84459">
        <w:rPr>
          <w:lang w:val="fr-CA"/>
        </w:rPr>
        <w:t>conflit</w:t>
      </w:r>
      <w:r w:rsidRPr="00E84459">
        <w:rPr>
          <w:lang w:val="fr-CA"/>
        </w:rPr>
        <w:t xml:space="preserve"> d’intérêt</w:t>
      </w:r>
      <w:r w:rsidR="00884B20">
        <w:rPr>
          <w:lang w:val="fr-CA"/>
        </w:rPr>
        <w:t>s</w:t>
      </w:r>
      <w:r w:rsidRPr="00E84459">
        <w:rPr>
          <w:lang w:val="fr-CA"/>
        </w:rPr>
        <w:t xml:space="preserve"> es</w:t>
      </w:r>
      <w:r>
        <w:rPr>
          <w:lang w:val="fr-CA"/>
        </w:rPr>
        <w:t xml:space="preserve">t </w:t>
      </w:r>
      <w:r w:rsidRPr="00E84459">
        <w:rPr>
          <w:lang w:val="fr-CA"/>
        </w:rPr>
        <w:t>une situation dans laquelle une personne ou un groupe de</w:t>
      </w:r>
      <w:r w:rsidR="00C14AEF">
        <w:rPr>
          <w:lang w:val="fr-CA"/>
        </w:rPr>
        <w:t xml:space="preserve"> p</w:t>
      </w:r>
      <w:r w:rsidRPr="00E84459">
        <w:rPr>
          <w:lang w:val="fr-CA"/>
        </w:rPr>
        <w:t xml:space="preserve">ersonnes </w:t>
      </w:r>
      <w:r w:rsidR="00C14AEF">
        <w:rPr>
          <w:lang w:val="fr-CA"/>
        </w:rPr>
        <w:t>ont</w:t>
      </w:r>
      <w:r w:rsidRPr="00E84459">
        <w:rPr>
          <w:lang w:val="fr-CA"/>
        </w:rPr>
        <w:t xml:space="preserve"> un intérêt privé ou </w:t>
      </w:r>
      <w:r>
        <w:rPr>
          <w:lang w:val="fr-CA"/>
        </w:rPr>
        <w:t>personnel suffisant pour influencer ou sembl</w:t>
      </w:r>
      <w:r w:rsidR="00884B20">
        <w:rPr>
          <w:lang w:val="fr-CA"/>
        </w:rPr>
        <w:t>er</w:t>
      </w:r>
      <w:r>
        <w:rPr>
          <w:lang w:val="fr-CA"/>
        </w:rPr>
        <w:t xml:space="preserve"> influencer</w:t>
      </w:r>
      <w:r w:rsidR="00C14AEF">
        <w:rPr>
          <w:lang w:val="fr-CA"/>
        </w:rPr>
        <w:t xml:space="preserve"> le processus de décision d’OSGA. </w:t>
      </w:r>
      <w:r w:rsidR="00C14AEF" w:rsidRPr="00993A43">
        <w:rPr>
          <w:lang w:val="fr-CA"/>
        </w:rPr>
        <w:t xml:space="preserve">Il est entendu que </w:t>
      </w:r>
      <w:r w:rsidR="005E6783">
        <w:rPr>
          <w:lang w:val="fr-CA"/>
        </w:rPr>
        <w:t>le fait de laisser sciemment un conflit d’intérêt</w:t>
      </w:r>
      <w:r w:rsidR="008A3000">
        <w:rPr>
          <w:lang w:val="fr-CA"/>
        </w:rPr>
        <w:t>s</w:t>
      </w:r>
      <w:r w:rsidR="005E6783">
        <w:rPr>
          <w:lang w:val="fr-CA"/>
        </w:rPr>
        <w:t xml:space="preserve"> exister </w:t>
      </w:r>
      <w:r w:rsidR="00993A43" w:rsidRPr="00993A43">
        <w:rPr>
          <w:lang w:val="fr-CA"/>
        </w:rPr>
        <w:t>dans le processus</w:t>
      </w:r>
      <w:r w:rsidR="00993A43">
        <w:rPr>
          <w:lang w:val="fr-CA"/>
        </w:rPr>
        <w:t xml:space="preserve"> de décision peut placer l’organisme, les membres du conseil et du personnel dans une position intenable.</w:t>
      </w:r>
    </w:p>
    <w:p w14:paraId="4E17DC5C" w14:textId="77777777" w:rsidR="00437432" w:rsidRPr="00993A43" w:rsidRDefault="00437432">
      <w:pPr>
        <w:pStyle w:val="BodyText"/>
        <w:rPr>
          <w:lang w:val="fr-CA"/>
        </w:rPr>
      </w:pPr>
    </w:p>
    <w:p w14:paraId="046DA18C" w14:textId="2CFEDCD4" w:rsidR="00437432" w:rsidRPr="00A571D2" w:rsidRDefault="00A571D2">
      <w:pPr>
        <w:pStyle w:val="BodyText"/>
        <w:spacing w:before="1"/>
        <w:ind w:left="119" w:right="146"/>
        <w:rPr>
          <w:lang w:val="fr-CA"/>
        </w:rPr>
      </w:pPr>
      <w:r w:rsidRPr="00A571D2">
        <w:rPr>
          <w:lang w:val="fr-CA"/>
        </w:rPr>
        <w:t>Il est donc l’intention de cette politique de déterminer des situations qui pourraient mener à l’interprétation d’un conflit d’intérêt</w:t>
      </w:r>
      <w:r w:rsidR="00884B20">
        <w:rPr>
          <w:lang w:val="fr-CA"/>
        </w:rPr>
        <w:t>s</w:t>
      </w:r>
      <w:r w:rsidRPr="00A571D2">
        <w:rPr>
          <w:lang w:val="fr-CA"/>
        </w:rPr>
        <w:t xml:space="preserve">, et de concevoir comment l’OSGA et ses membres </w:t>
      </w:r>
      <w:r>
        <w:rPr>
          <w:lang w:val="fr-CA"/>
        </w:rPr>
        <w:t>s’attendent résoudre</w:t>
      </w:r>
      <w:r w:rsidRPr="00A571D2">
        <w:rPr>
          <w:lang w:val="fr-CA"/>
        </w:rPr>
        <w:t xml:space="preserve"> les situations où il y aurait un conflit d’intérêt</w:t>
      </w:r>
      <w:r w:rsidR="00884B20">
        <w:rPr>
          <w:lang w:val="fr-CA"/>
        </w:rPr>
        <w:t>s</w:t>
      </w:r>
      <w:r w:rsidRPr="00A571D2">
        <w:rPr>
          <w:lang w:val="fr-CA"/>
        </w:rPr>
        <w:t xml:space="preserve"> dans le</w:t>
      </w:r>
      <w:r>
        <w:rPr>
          <w:lang w:val="fr-CA"/>
        </w:rPr>
        <w:t xml:space="preserve"> processus décisionnel de l’organisme.</w:t>
      </w:r>
    </w:p>
    <w:p w14:paraId="7CDB2F74" w14:textId="77777777" w:rsidR="00437432" w:rsidRPr="00A571D2" w:rsidRDefault="00437432">
      <w:pPr>
        <w:pStyle w:val="BodyText"/>
        <w:spacing w:before="10"/>
        <w:rPr>
          <w:sz w:val="19"/>
          <w:lang w:val="fr-CA"/>
        </w:rPr>
      </w:pPr>
    </w:p>
    <w:p w14:paraId="7FB86CCC" w14:textId="40F706DA" w:rsidR="00437432" w:rsidRPr="00A571D2" w:rsidRDefault="005E6783">
      <w:pPr>
        <w:pStyle w:val="BodyText"/>
        <w:ind w:left="119"/>
        <w:rPr>
          <w:lang w:val="fr-CA"/>
        </w:rPr>
      </w:pPr>
      <w:r w:rsidRPr="00A571D2">
        <w:rPr>
          <w:lang w:val="fr-CA"/>
        </w:rPr>
        <w:t>LIGNES DIRE</w:t>
      </w:r>
      <w:r>
        <w:rPr>
          <w:lang w:val="fr-CA"/>
        </w:rPr>
        <w:t>C</w:t>
      </w:r>
      <w:r w:rsidRPr="00A571D2">
        <w:rPr>
          <w:lang w:val="fr-CA"/>
        </w:rPr>
        <w:t>TRICES DE LA P</w:t>
      </w:r>
      <w:r>
        <w:rPr>
          <w:lang w:val="fr-CA"/>
        </w:rPr>
        <w:t>OLITIQUE</w:t>
      </w:r>
    </w:p>
    <w:p w14:paraId="6132D175" w14:textId="62E553E9" w:rsidR="00437432" w:rsidRPr="005E6783" w:rsidRDefault="00A571D2">
      <w:pPr>
        <w:pStyle w:val="ListParagraph"/>
        <w:numPr>
          <w:ilvl w:val="2"/>
          <w:numId w:val="1"/>
        </w:numPr>
        <w:tabs>
          <w:tab w:val="left" w:pos="839"/>
          <w:tab w:val="left" w:pos="840"/>
        </w:tabs>
        <w:ind w:right="805"/>
        <w:rPr>
          <w:sz w:val="20"/>
          <w:lang w:val="fr-CA"/>
        </w:rPr>
      </w:pPr>
      <w:r w:rsidRPr="007D176A">
        <w:rPr>
          <w:sz w:val="20"/>
          <w:lang w:val="fr-CA"/>
        </w:rPr>
        <w:t xml:space="preserve">Les membres du conseil et du personnel sont défendus d’utiliser leur </w:t>
      </w:r>
      <w:r w:rsidR="007D176A" w:rsidRPr="007D176A">
        <w:rPr>
          <w:sz w:val="20"/>
          <w:lang w:val="fr-CA"/>
        </w:rPr>
        <w:t xml:space="preserve">titre ou </w:t>
      </w:r>
      <w:r w:rsidR="007D176A">
        <w:rPr>
          <w:sz w:val="20"/>
          <w:lang w:val="fr-CA"/>
        </w:rPr>
        <w:t xml:space="preserve">leur poste pour </w:t>
      </w:r>
      <w:r w:rsidR="005E6783">
        <w:rPr>
          <w:sz w:val="20"/>
          <w:lang w:val="fr-CA"/>
        </w:rPr>
        <w:t xml:space="preserve">tirer profit personnel ou </w:t>
      </w:r>
      <w:r w:rsidR="007D176A">
        <w:rPr>
          <w:sz w:val="20"/>
          <w:lang w:val="fr-CA"/>
        </w:rPr>
        <w:t xml:space="preserve">obtenir des </w:t>
      </w:r>
      <w:r w:rsidR="005E6783">
        <w:rPr>
          <w:sz w:val="20"/>
          <w:lang w:val="fr-CA"/>
        </w:rPr>
        <w:t>avantages</w:t>
      </w:r>
      <w:r w:rsidR="007D176A">
        <w:rPr>
          <w:sz w:val="20"/>
          <w:lang w:val="fr-CA"/>
        </w:rPr>
        <w:t xml:space="preserve"> personnels, directement ou indirectement.  </w:t>
      </w:r>
    </w:p>
    <w:p w14:paraId="759A5F60" w14:textId="116547D2" w:rsidR="00437432" w:rsidRPr="00884B20" w:rsidRDefault="007D176A">
      <w:pPr>
        <w:pStyle w:val="ListParagraph"/>
        <w:numPr>
          <w:ilvl w:val="2"/>
          <w:numId w:val="1"/>
        </w:numPr>
        <w:tabs>
          <w:tab w:val="left" w:pos="839"/>
          <w:tab w:val="left" w:pos="840"/>
        </w:tabs>
        <w:spacing w:before="2"/>
        <w:ind w:right="505"/>
        <w:rPr>
          <w:sz w:val="20"/>
          <w:lang w:val="fr-CA"/>
        </w:rPr>
      </w:pPr>
      <w:r w:rsidRPr="00A5736A">
        <w:rPr>
          <w:sz w:val="20"/>
          <w:lang w:val="fr-CA"/>
        </w:rPr>
        <w:t xml:space="preserve">Les membres du conseil et du personnel ne </w:t>
      </w:r>
      <w:r w:rsidR="00A5736A" w:rsidRPr="00A5736A">
        <w:rPr>
          <w:sz w:val="20"/>
          <w:lang w:val="fr-CA"/>
        </w:rPr>
        <w:t>sollicitent</w:t>
      </w:r>
      <w:r w:rsidRPr="00A5736A">
        <w:rPr>
          <w:sz w:val="20"/>
          <w:lang w:val="fr-CA"/>
        </w:rPr>
        <w:t xml:space="preserve"> ni n’acceptent des gratifications, des faveurs ou tout autre</w:t>
      </w:r>
      <w:r w:rsidR="00A5736A" w:rsidRPr="00A5736A">
        <w:rPr>
          <w:sz w:val="20"/>
          <w:lang w:val="fr-CA"/>
        </w:rPr>
        <w:t xml:space="preserve"> genre de</w:t>
      </w:r>
      <w:r w:rsidR="00A5736A">
        <w:rPr>
          <w:sz w:val="20"/>
          <w:lang w:val="fr-CA"/>
        </w:rPr>
        <w:t xml:space="preserve"> nature </w:t>
      </w:r>
      <w:r w:rsidR="00884B20">
        <w:rPr>
          <w:sz w:val="20"/>
          <w:lang w:val="fr-CA"/>
        </w:rPr>
        <w:t>pécuniaire</w:t>
      </w:r>
      <w:r w:rsidR="00A5736A">
        <w:rPr>
          <w:sz w:val="20"/>
          <w:lang w:val="fr-CA"/>
        </w:rPr>
        <w:t xml:space="preserve"> de tout entreprise ou fournisseur. </w:t>
      </w:r>
      <w:r w:rsidRPr="00A5736A">
        <w:rPr>
          <w:sz w:val="20"/>
          <w:lang w:val="fr-CA"/>
        </w:rPr>
        <w:t xml:space="preserve">   </w:t>
      </w:r>
    </w:p>
    <w:p w14:paraId="3E49D8F7" w14:textId="1C2C01D0" w:rsidR="00437432" w:rsidRPr="005D7759" w:rsidRDefault="00A5736A">
      <w:pPr>
        <w:pStyle w:val="ListParagraph"/>
        <w:numPr>
          <w:ilvl w:val="2"/>
          <w:numId w:val="1"/>
        </w:numPr>
        <w:tabs>
          <w:tab w:val="left" w:pos="839"/>
          <w:tab w:val="left" w:pos="840"/>
        </w:tabs>
        <w:ind w:left="840" w:right="138" w:hanging="361"/>
        <w:rPr>
          <w:sz w:val="20"/>
          <w:lang w:val="fr-CA"/>
        </w:rPr>
      </w:pPr>
      <w:r w:rsidRPr="005D7759">
        <w:rPr>
          <w:sz w:val="20"/>
          <w:lang w:val="fr-CA"/>
        </w:rPr>
        <w:t xml:space="preserve">Les membres du conseil et du personnel ne </w:t>
      </w:r>
      <w:r w:rsidR="00E855CE">
        <w:rPr>
          <w:sz w:val="20"/>
          <w:lang w:val="fr-CA"/>
        </w:rPr>
        <w:t>peuvent participer au</w:t>
      </w:r>
      <w:r w:rsidRPr="005D7759">
        <w:rPr>
          <w:sz w:val="20"/>
          <w:lang w:val="fr-CA"/>
        </w:rPr>
        <w:t xml:space="preserve"> processus de sélection </w:t>
      </w:r>
      <w:r w:rsidR="00E855CE">
        <w:rPr>
          <w:sz w:val="20"/>
          <w:lang w:val="fr-CA"/>
        </w:rPr>
        <w:t xml:space="preserve">comme hôte </w:t>
      </w:r>
      <w:r w:rsidRPr="005D7759">
        <w:rPr>
          <w:sz w:val="20"/>
          <w:lang w:val="fr-CA"/>
        </w:rPr>
        <w:t xml:space="preserve">d’événements de OSGA, ou </w:t>
      </w:r>
      <w:r w:rsidR="00E855CE">
        <w:rPr>
          <w:sz w:val="20"/>
          <w:lang w:val="fr-CA"/>
        </w:rPr>
        <w:t xml:space="preserve">à </w:t>
      </w:r>
      <w:r w:rsidRPr="005D7759">
        <w:rPr>
          <w:sz w:val="20"/>
          <w:lang w:val="fr-CA"/>
        </w:rPr>
        <w:t>l’octroi d’un contrat avec un fournisseur si</w:t>
      </w:r>
      <w:r w:rsidR="00884B20">
        <w:rPr>
          <w:sz w:val="20"/>
          <w:lang w:val="fr-CA"/>
        </w:rPr>
        <w:t>,</w:t>
      </w:r>
      <w:r w:rsidRPr="005D7759">
        <w:rPr>
          <w:sz w:val="20"/>
          <w:lang w:val="fr-CA"/>
        </w:rPr>
        <w:t xml:space="preserve"> </w:t>
      </w:r>
      <w:r w:rsidR="00884B20">
        <w:rPr>
          <w:sz w:val="20"/>
          <w:lang w:val="fr-CA"/>
        </w:rPr>
        <w:t>à</w:t>
      </w:r>
      <w:r w:rsidRPr="005D7759">
        <w:rPr>
          <w:sz w:val="20"/>
          <w:lang w:val="fr-CA"/>
        </w:rPr>
        <w:t xml:space="preserve"> leur connaissance, un</w:t>
      </w:r>
      <w:r w:rsidR="00E855CE">
        <w:rPr>
          <w:sz w:val="20"/>
          <w:lang w:val="fr-CA"/>
        </w:rPr>
        <w:t>e</w:t>
      </w:r>
      <w:r w:rsidRPr="005D7759">
        <w:rPr>
          <w:sz w:val="20"/>
          <w:lang w:val="fr-CA"/>
        </w:rPr>
        <w:t xml:space="preserve"> ou plusieurs </w:t>
      </w:r>
      <w:r w:rsidR="007C7F5E">
        <w:rPr>
          <w:sz w:val="20"/>
          <w:lang w:val="fr-CA"/>
        </w:rPr>
        <w:t xml:space="preserve">des </w:t>
      </w:r>
      <w:r w:rsidR="00E855CE">
        <w:rPr>
          <w:sz w:val="20"/>
          <w:lang w:val="fr-CA"/>
        </w:rPr>
        <w:t>éventualités suivantes</w:t>
      </w:r>
      <w:r w:rsidRPr="005D7759">
        <w:rPr>
          <w:sz w:val="20"/>
          <w:lang w:val="fr-CA"/>
        </w:rPr>
        <w:t xml:space="preserve"> </w:t>
      </w:r>
      <w:r w:rsidR="005D7759" w:rsidRPr="005D7759">
        <w:rPr>
          <w:sz w:val="20"/>
          <w:lang w:val="fr-CA"/>
        </w:rPr>
        <w:t>peu</w:t>
      </w:r>
      <w:r w:rsidR="00E855CE">
        <w:rPr>
          <w:sz w:val="20"/>
          <w:lang w:val="fr-CA"/>
        </w:rPr>
        <w:t>ven</w:t>
      </w:r>
      <w:r w:rsidR="005D7759" w:rsidRPr="005D7759">
        <w:rPr>
          <w:sz w:val="20"/>
          <w:lang w:val="fr-CA"/>
        </w:rPr>
        <w:t xml:space="preserve">t </w:t>
      </w:r>
      <w:r w:rsidR="00D25C86">
        <w:rPr>
          <w:sz w:val="20"/>
          <w:lang w:val="fr-CA"/>
        </w:rPr>
        <w:t xml:space="preserve">avoir </w:t>
      </w:r>
      <w:r w:rsidR="005D7759" w:rsidRPr="005D7759">
        <w:rPr>
          <w:sz w:val="20"/>
          <w:lang w:val="fr-CA"/>
        </w:rPr>
        <w:t>ou sembler avoir un</w:t>
      </w:r>
      <w:r w:rsidRPr="005D7759">
        <w:rPr>
          <w:sz w:val="20"/>
          <w:lang w:val="fr-CA"/>
        </w:rPr>
        <w:t xml:space="preserve"> </w:t>
      </w:r>
      <w:r w:rsidR="005D7759" w:rsidRPr="005D7759">
        <w:rPr>
          <w:sz w:val="20"/>
          <w:lang w:val="fr-CA"/>
        </w:rPr>
        <w:t>intérêt pécuniaire</w:t>
      </w:r>
      <w:r w:rsidR="00884B20">
        <w:rPr>
          <w:sz w:val="20"/>
          <w:lang w:val="fr-CA"/>
        </w:rPr>
        <w:t> </w:t>
      </w:r>
      <w:r w:rsidR="005D7759" w:rsidRPr="005D7759">
        <w:rPr>
          <w:sz w:val="20"/>
          <w:lang w:val="fr-CA"/>
        </w:rPr>
        <w:t xml:space="preserve">: </w:t>
      </w:r>
    </w:p>
    <w:p w14:paraId="32155592" w14:textId="032A308A" w:rsidR="00437432" w:rsidRPr="005D7759" w:rsidRDefault="005D7759">
      <w:pPr>
        <w:pStyle w:val="ListParagraph"/>
        <w:numPr>
          <w:ilvl w:val="3"/>
          <w:numId w:val="1"/>
        </w:numPr>
        <w:tabs>
          <w:tab w:val="left" w:pos="1380"/>
          <w:tab w:val="left" w:pos="1381"/>
        </w:tabs>
        <w:spacing w:line="244" w:lineRule="exact"/>
        <w:rPr>
          <w:sz w:val="20"/>
          <w:lang w:val="fr-CA"/>
        </w:rPr>
      </w:pPr>
      <w:r w:rsidRPr="005D7759">
        <w:rPr>
          <w:sz w:val="20"/>
          <w:lang w:val="fr-CA"/>
        </w:rPr>
        <w:t>Tout memb</w:t>
      </w:r>
      <w:r>
        <w:rPr>
          <w:sz w:val="20"/>
          <w:lang w:val="fr-CA"/>
        </w:rPr>
        <w:t>re</w:t>
      </w:r>
      <w:r w:rsidRPr="005D7759">
        <w:rPr>
          <w:sz w:val="20"/>
          <w:lang w:val="fr-CA"/>
        </w:rPr>
        <w:t xml:space="preserve"> de conseil ou du personnel;</w:t>
      </w:r>
    </w:p>
    <w:p w14:paraId="778093B5" w14:textId="419F0E2B" w:rsidR="00437432" w:rsidRPr="005D7759" w:rsidRDefault="005D7759">
      <w:pPr>
        <w:pStyle w:val="ListParagraph"/>
        <w:numPr>
          <w:ilvl w:val="3"/>
          <w:numId w:val="1"/>
        </w:numPr>
        <w:tabs>
          <w:tab w:val="left" w:pos="1379"/>
          <w:tab w:val="left" w:pos="1380"/>
        </w:tabs>
        <w:ind w:left="1379"/>
        <w:rPr>
          <w:sz w:val="20"/>
          <w:lang w:val="fr-CA"/>
        </w:rPr>
      </w:pPr>
      <w:r w:rsidRPr="005D7759">
        <w:rPr>
          <w:sz w:val="20"/>
          <w:lang w:val="fr-CA"/>
        </w:rPr>
        <w:t xml:space="preserve">Un membre de famille immédiate; </w:t>
      </w:r>
    </w:p>
    <w:p w14:paraId="1AAF8682" w14:textId="1F98A355" w:rsidR="00437432" w:rsidRPr="005D7759" w:rsidRDefault="005D7759">
      <w:pPr>
        <w:pStyle w:val="ListParagraph"/>
        <w:numPr>
          <w:ilvl w:val="3"/>
          <w:numId w:val="1"/>
        </w:numPr>
        <w:tabs>
          <w:tab w:val="left" w:pos="1380"/>
          <w:tab w:val="left" w:pos="1381"/>
        </w:tabs>
        <w:spacing w:line="243" w:lineRule="exact"/>
        <w:ind w:hanging="361"/>
        <w:rPr>
          <w:sz w:val="20"/>
          <w:lang w:val="fr-CA"/>
        </w:rPr>
      </w:pPr>
      <w:r w:rsidRPr="005D7759">
        <w:rPr>
          <w:sz w:val="20"/>
          <w:lang w:val="fr-CA"/>
        </w:rPr>
        <w:t xml:space="preserve">Un partenaire ou </w:t>
      </w:r>
      <w:r>
        <w:rPr>
          <w:sz w:val="20"/>
          <w:lang w:val="fr-CA"/>
        </w:rPr>
        <w:t>u</w:t>
      </w:r>
      <w:r w:rsidR="00E855CE">
        <w:rPr>
          <w:sz w:val="20"/>
          <w:lang w:val="fr-CA"/>
        </w:rPr>
        <w:t>n</w:t>
      </w:r>
      <w:r>
        <w:rPr>
          <w:sz w:val="20"/>
          <w:lang w:val="fr-CA"/>
        </w:rPr>
        <w:t xml:space="preserve"> </w:t>
      </w:r>
      <w:r w:rsidRPr="005D7759">
        <w:rPr>
          <w:sz w:val="20"/>
          <w:lang w:val="fr-CA"/>
        </w:rPr>
        <w:t xml:space="preserve">ancien partenaire; </w:t>
      </w:r>
    </w:p>
    <w:p w14:paraId="5AC7F786" w14:textId="7313E601" w:rsidR="00437432" w:rsidRPr="00511E85" w:rsidRDefault="005D7759">
      <w:pPr>
        <w:pStyle w:val="ListParagraph"/>
        <w:numPr>
          <w:ilvl w:val="3"/>
          <w:numId w:val="1"/>
        </w:numPr>
        <w:tabs>
          <w:tab w:val="left" w:pos="1379"/>
          <w:tab w:val="left" w:pos="1380"/>
        </w:tabs>
        <w:spacing w:line="243" w:lineRule="exact"/>
        <w:ind w:left="1379"/>
        <w:rPr>
          <w:sz w:val="20"/>
          <w:lang w:val="fr-CA"/>
        </w:rPr>
      </w:pPr>
      <w:r w:rsidRPr="00511E85">
        <w:rPr>
          <w:sz w:val="20"/>
          <w:lang w:val="fr-CA"/>
        </w:rPr>
        <w:t>Un organisme</w:t>
      </w:r>
      <w:r w:rsidR="00511E85">
        <w:rPr>
          <w:sz w:val="20"/>
          <w:lang w:val="fr-CA"/>
        </w:rPr>
        <w:t xml:space="preserve"> </w:t>
      </w:r>
      <w:r w:rsidR="00511E85" w:rsidRPr="00511E85">
        <w:rPr>
          <w:sz w:val="20"/>
          <w:lang w:val="fr-CA"/>
        </w:rPr>
        <w:t>avec l</w:t>
      </w:r>
      <w:r w:rsidR="00884B20">
        <w:rPr>
          <w:sz w:val="20"/>
          <w:lang w:val="fr-CA"/>
        </w:rPr>
        <w:t>equel</w:t>
      </w:r>
      <w:r w:rsidRPr="00511E85">
        <w:rPr>
          <w:sz w:val="20"/>
          <w:lang w:val="fr-CA"/>
        </w:rPr>
        <w:t xml:space="preserve"> un membre du conseil </w:t>
      </w:r>
      <w:r w:rsidR="00511E85">
        <w:rPr>
          <w:sz w:val="20"/>
          <w:lang w:val="fr-CA"/>
        </w:rPr>
        <w:t>a</w:t>
      </w:r>
      <w:r w:rsidR="00511E85" w:rsidRPr="00511E85">
        <w:rPr>
          <w:sz w:val="20"/>
          <w:lang w:val="fr-CA"/>
        </w:rPr>
        <w:t xml:space="preserve"> </w:t>
      </w:r>
      <w:r w:rsidR="00511E85">
        <w:rPr>
          <w:sz w:val="20"/>
          <w:lang w:val="fr-CA"/>
        </w:rPr>
        <w:t>une association présente ou antérieure</w:t>
      </w:r>
      <w:r w:rsidR="00C913B9" w:rsidRPr="00511E85">
        <w:rPr>
          <w:sz w:val="20"/>
          <w:lang w:val="fr-CA"/>
        </w:rPr>
        <w:t>;</w:t>
      </w:r>
    </w:p>
    <w:p w14:paraId="446FC8C4" w14:textId="221531FB" w:rsidR="00437432" w:rsidRPr="00AB6026" w:rsidRDefault="00E855CE">
      <w:pPr>
        <w:pStyle w:val="ListParagraph"/>
        <w:numPr>
          <w:ilvl w:val="3"/>
          <w:numId w:val="1"/>
        </w:numPr>
        <w:tabs>
          <w:tab w:val="left" w:pos="1379"/>
          <w:tab w:val="left" w:pos="1380"/>
        </w:tabs>
        <w:spacing w:before="1"/>
        <w:ind w:left="1379"/>
        <w:rPr>
          <w:sz w:val="20"/>
          <w:lang w:val="fr-CA"/>
        </w:rPr>
      </w:pPr>
      <w:r w:rsidRPr="00E855CE">
        <w:rPr>
          <w:sz w:val="20"/>
          <w:lang w:val="fr-CA"/>
        </w:rPr>
        <w:t xml:space="preserve">Un organisme dont un membre du conseil ou du </w:t>
      </w:r>
      <w:r>
        <w:rPr>
          <w:sz w:val="20"/>
          <w:lang w:val="fr-CA"/>
        </w:rPr>
        <w:t>personnel</w:t>
      </w:r>
      <w:r w:rsidR="00AB6026">
        <w:rPr>
          <w:sz w:val="20"/>
          <w:lang w:val="fr-CA"/>
        </w:rPr>
        <w:t xml:space="preserve"> peut recevoir une offre d’emploi éventuel. </w:t>
      </w:r>
    </w:p>
    <w:p w14:paraId="0F75CF10" w14:textId="5F4E5909" w:rsidR="00437432" w:rsidRPr="00DC72C7" w:rsidRDefault="00C913B9">
      <w:pPr>
        <w:pStyle w:val="ListParagraph"/>
        <w:numPr>
          <w:ilvl w:val="2"/>
          <w:numId w:val="1"/>
        </w:numPr>
        <w:tabs>
          <w:tab w:val="left" w:pos="839"/>
          <w:tab w:val="left" w:pos="840"/>
        </w:tabs>
        <w:ind w:right="451"/>
        <w:rPr>
          <w:sz w:val="20"/>
          <w:lang w:val="fr-CA"/>
        </w:rPr>
      </w:pPr>
      <w:r w:rsidRPr="00DC72C7">
        <w:rPr>
          <w:sz w:val="20"/>
          <w:lang w:val="fr-CA"/>
        </w:rPr>
        <w:t>D</w:t>
      </w:r>
      <w:r w:rsidR="00AB6026" w:rsidRPr="00DC72C7">
        <w:rPr>
          <w:sz w:val="20"/>
          <w:lang w:val="fr-CA"/>
        </w:rPr>
        <w:t>éclaration</w:t>
      </w:r>
      <w:r w:rsidR="00884B20">
        <w:rPr>
          <w:sz w:val="20"/>
          <w:lang w:val="fr-CA"/>
        </w:rPr>
        <w:t> </w:t>
      </w:r>
      <w:r w:rsidRPr="00DC72C7">
        <w:rPr>
          <w:sz w:val="20"/>
          <w:lang w:val="fr-CA"/>
        </w:rPr>
        <w:t>:</w:t>
      </w:r>
      <w:r w:rsidRPr="00DC72C7">
        <w:rPr>
          <w:spacing w:val="-5"/>
          <w:sz w:val="20"/>
          <w:lang w:val="fr-CA"/>
        </w:rPr>
        <w:t xml:space="preserve"> </w:t>
      </w:r>
      <w:r w:rsidR="00AB6026" w:rsidRPr="00DC72C7">
        <w:rPr>
          <w:spacing w:val="-5"/>
          <w:sz w:val="20"/>
          <w:lang w:val="fr-CA"/>
        </w:rPr>
        <w:t xml:space="preserve">tout conflit d’intérêt réel ou </w:t>
      </w:r>
      <w:r w:rsidR="00DC72C7" w:rsidRPr="00DC72C7">
        <w:rPr>
          <w:spacing w:val="-5"/>
          <w:sz w:val="20"/>
          <w:lang w:val="fr-CA"/>
        </w:rPr>
        <w:t xml:space="preserve">potentiel doit être déclaré par les personnes concernées avant que toute discussion ou action soit prise par le conseil d’administration d’OSGA, </w:t>
      </w:r>
      <w:r w:rsidR="00DC2AAA">
        <w:rPr>
          <w:spacing w:val="-5"/>
          <w:sz w:val="20"/>
          <w:lang w:val="fr-CA"/>
        </w:rPr>
        <w:t xml:space="preserve">les </w:t>
      </w:r>
      <w:r w:rsidR="00DC72C7" w:rsidRPr="00DC72C7">
        <w:rPr>
          <w:spacing w:val="-5"/>
          <w:sz w:val="20"/>
          <w:lang w:val="fr-CA"/>
        </w:rPr>
        <w:t xml:space="preserve">membres de comités ou </w:t>
      </w:r>
      <w:r w:rsidR="00DC2AAA">
        <w:rPr>
          <w:spacing w:val="-5"/>
          <w:sz w:val="20"/>
          <w:lang w:val="fr-CA"/>
        </w:rPr>
        <w:t xml:space="preserve">les districts </w:t>
      </w:r>
      <w:r w:rsidR="00DC72C7" w:rsidRPr="00DC72C7">
        <w:rPr>
          <w:spacing w:val="-5"/>
          <w:sz w:val="20"/>
          <w:lang w:val="fr-CA"/>
        </w:rPr>
        <w:t>membre</w:t>
      </w:r>
      <w:r w:rsidR="00DC72C7">
        <w:rPr>
          <w:spacing w:val="-5"/>
          <w:sz w:val="20"/>
          <w:lang w:val="fr-CA"/>
        </w:rPr>
        <w:t>s à l’assemblée annuelle.</w:t>
      </w:r>
    </w:p>
    <w:p w14:paraId="359553B5" w14:textId="35A7B5B2" w:rsidR="00437432" w:rsidRPr="00884B20" w:rsidRDefault="00C913B9">
      <w:pPr>
        <w:pStyle w:val="ListParagraph"/>
        <w:numPr>
          <w:ilvl w:val="2"/>
          <w:numId w:val="1"/>
        </w:numPr>
        <w:tabs>
          <w:tab w:val="left" w:pos="839"/>
          <w:tab w:val="left" w:pos="840"/>
        </w:tabs>
        <w:ind w:right="245"/>
        <w:rPr>
          <w:sz w:val="20"/>
          <w:lang w:val="fr-CA"/>
        </w:rPr>
      </w:pPr>
      <w:r w:rsidRPr="00E11900">
        <w:rPr>
          <w:sz w:val="20"/>
          <w:lang w:val="fr-CA"/>
        </w:rPr>
        <w:t>Action</w:t>
      </w:r>
      <w:r w:rsidR="00884B20">
        <w:rPr>
          <w:sz w:val="20"/>
          <w:lang w:val="fr-CA"/>
        </w:rPr>
        <w:t> </w:t>
      </w:r>
      <w:r w:rsidRPr="00E11900">
        <w:rPr>
          <w:sz w:val="20"/>
          <w:lang w:val="fr-CA"/>
        </w:rPr>
        <w:t xml:space="preserve">: </w:t>
      </w:r>
      <w:r w:rsidR="00DC72C7" w:rsidRPr="00E11900">
        <w:rPr>
          <w:sz w:val="20"/>
          <w:lang w:val="fr-CA"/>
        </w:rPr>
        <w:t xml:space="preserve">Les </w:t>
      </w:r>
      <w:r w:rsidR="00E11900">
        <w:rPr>
          <w:sz w:val="20"/>
          <w:lang w:val="fr-CA"/>
        </w:rPr>
        <w:t>individus</w:t>
      </w:r>
      <w:r w:rsidR="00DC72C7" w:rsidRPr="00E11900">
        <w:rPr>
          <w:sz w:val="20"/>
          <w:lang w:val="fr-CA"/>
        </w:rPr>
        <w:t xml:space="preserve"> </w:t>
      </w:r>
      <w:r w:rsidR="00E11900">
        <w:rPr>
          <w:sz w:val="20"/>
          <w:lang w:val="fr-CA"/>
        </w:rPr>
        <w:t>déclarant un</w:t>
      </w:r>
      <w:r w:rsidR="00DC72C7" w:rsidRPr="00E11900">
        <w:rPr>
          <w:sz w:val="20"/>
          <w:lang w:val="fr-CA"/>
        </w:rPr>
        <w:t xml:space="preserve"> conflit d’intérêt</w:t>
      </w:r>
      <w:r w:rsidR="00884B20">
        <w:rPr>
          <w:sz w:val="20"/>
          <w:lang w:val="fr-CA"/>
        </w:rPr>
        <w:t>s</w:t>
      </w:r>
      <w:r w:rsidR="00DC72C7" w:rsidRPr="00E11900">
        <w:rPr>
          <w:sz w:val="20"/>
          <w:lang w:val="fr-CA"/>
        </w:rPr>
        <w:t xml:space="preserve"> doivent se retirer </w:t>
      </w:r>
      <w:r w:rsidR="005E6783">
        <w:rPr>
          <w:sz w:val="20"/>
          <w:lang w:val="fr-CA"/>
        </w:rPr>
        <w:t>dans l’endroit où a lieu la</w:t>
      </w:r>
      <w:r w:rsidR="00DC72C7" w:rsidRPr="00E11900">
        <w:rPr>
          <w:sz w:val="20"/>
          <w:lang w:val="fr-CA"/>
        </w:rPr>
        <w:t xml:space="preserve"> discussion et ne pas y retourner avant </w:t>
      </w:r>
      <w:r w:rsidR="00E11900" w:rsidRPr="00E11900">
        <w:rPr>
          <w:sz w:val="20"/>
          <w:lang w:val="fr-CA"/>
        </w:rPr>
        <w:t>l’approbation du</w:t>
      </w:r>
      <w:r w:rsidR="00DC72C7" w:rsidRPr="00E11900">
        <w:rPr>
          <w:sz w:val="20"/>
          <w:lang w:val="fr-CA"/>
        </w:rPr>
        <w:t xml:space="preserve"> pr</w:t>
      </w:r>
      <w:r w:rsidR="00E11900" w:rsidRPr="00E11900">
        <w:rPr>
          <w:sz w:val="20"/>
          <w:lang w:val="fr-CA"/>
        </w:rPr>
        <w:t>é</w:t>
      </w:r>
      <w:r w:rsidR="00DC72C7" w:rsidRPr="00E11900">
        <w:rPr>
          <w:sz w:val="20"/>
          <w:lang w:val="fr-CA"/>
        </w:rPr>
        <w:t>sident de la r</w:t>
      </w:r>
      <w:r w:rsidR="00E11900">
        <w:rPr>
          <w:sz w:val="20"/>
          <w:lang w:val="fr-CA"/>
        </w:rPr>
        <w:t>é</w:t>
      </w:r>
      <w:r w:rsidR="00DC72C7" w:rsidRPr="00E11900">
        <w:rPr>
          <w:sz w:val="20"/>
          <w:lang w:val="fr-CA"/>
        </w:rPr>
        <w:t>union</w:t>
      </w:r>
      <w:r w:rsidR="00E11900" w:rsidRPr="00E11900">
        <w:rPr>
          <w:sz w:val="20"/>
          <w:lang w:val="fr-CA"/>
        </w:rPr>
        <w:t>.</w:t>
      </w:r>
      <w:r w:rsidR="00E11900">
        <w:rPr>
          <w:sz w:val="20"/>
          <w:lang w:val="fr-CA"/>
        </w:rPr>
        <w:t xml:space="preserve"> </w:t>
      </w:r>
      <w:r w:rsidR="00E11900" w:rsidRPr="00E11900">
        <w:rPr>
          <w:sz w:val="20"/>
          <w:lang w:val="fr-CA"/>
        </w:rPr>
        <w:t xml:space="preserve">Les individus faisant la déclaration ne peuvent pas participer à </w:t>
      </w:r>
      <w:r w:rsidR="00884B20">
        <w:rPr>
          <w:sz w:val="20"/>
          <w:lang w:val="fr-CA"/>
        </w:rPr>
        <w:t>toute</w:t>
      </w:r>
      <w:r w:rsidR="00E11900" w:rsidRPr="00E11900">
        <w:rPr>
          <w:sz w:val="20"/>
          <w:lang w:val="fr-CA"/>
        </w:rPr>
        <w:t xml:space="preserve"> discussion ou voter sur tous sujets concernés par le conflit d’intérêt</w:t>
      </w:r>
      <w:r w:rsidR="00884B20">
        <w:rPr>
          <w:sz w:val="20"/>
          <w:lang w:val="fr-CA"/>
        </w:rPr>
        <w:t>s</w:t>
      </w:r>
      <w:r w:rsidR="00E11900" w:rsidRPr="00E11900">
        <w:rPr>
          <w:sz w:val="20"/>
          <w:lang w:val="fr-CA"/>
        </w:rPr>
        <w:t>.</w:t>
      </w:r>
      <w:r w:rsidR="00E11900">
        <w:rPr>
          <w:sz w:val="20"/>
          <w:lang w:val="fr-CA"/>
        </w:rPr>
        <w:t xml:space="preserve"> </w:t>
      </w:r>
      <w:r w:rsidR="00E11900" w:rsidRPr="00DC2AAA">
        <w:rPr>
          <w:sz w:val="20"/>
          <w:lang w:val="fr-CA"/>
        </w:rPr>
        <w:t>Toute tentative d’influencer tout membre du conseil, membre de comité</w:t>
      </w:r>
      <w:r w:rsidR="00DC2AAA">
        <w:rPr>
          <w:sz w:val="20"/>
          <w:lang w:val="fr-CA"/>
        </w:rPr>
        <w:t>s</w:t>
      </w:r>
      <w:r w:rsidR="00E11900" w:rsidRPr="00DC2AAA">
        <w:rPr>
          <w:sz w:val="20"/>
          <w:lang w:val="fr-CA"/>
        </w:rPr>
        <w:t xml:space="preserve"> ou </w:t>
      </w:r>
      <w:r w:rsidR="00DC2AAA" w:rsidRPr="00DC2AAA">
        <w:rPr>
          <w:sz w:val="20"/>
          <w:lang w:val="fr-CA"/>
        </w:rPr>
        <w:t>district membre</w:t>
      </w:r>
      <w:r w:rsidR="00884B20">
        <w:rPr>
          <w:sz w:val="20"/>
          <w:lang w:val="fr-CA"/>
        </w:rPr>
        <w:t xml:space="preserve"> peut également</w:t>
      </w:r>
      <w:r w:rsidR="00DC2AAA">
        <w:rPr>
          <w:sz w:val="20"/>
          <w:lang w:val="fr-CA"/>
        </w:rPr>
        <w:t xml:space="preserve"> les place</w:t>
      </w:r>
      <w:r w:rsidR="00884B20">
        <w:rPr>
          <w:sz w:val="20"/>
          <w:lang w:val="fr-CA"/>
        </w:rPr>
        <w:t>r</w:t>
      </w:r>
      <w:r w:rsidR="00DC2AAA">
        <w:rPr>
          <w:sz w:val="20"/>
          <w:lang w:val="fr-CA"/>
        </w:rPr>
        <w:t xml:space="preserve"> dans une situation de conflit d’intérêt</w:t>
      </w:r>
      <w:r w:rsidR="00884B20">
        <w:rPr>
          <w:sz w:val="20"/>
          <w:lang w:val="fr-CA"/>
        </w:rPr>
        <w:t>s</w:t>
      </w:r>
      <w:r w:rsidR="00DC2AAA" w:rsidRPr="00DC2AAA">
        <w:rPr>
          <w:sz w:val="20"/>
          <w:lang w:val="fr-CA"/>
        </w:rPr>
        <w:t>.</w:t>
      </w:r>
      <w:r w:rsidR="00DC2AAA">
        <w:rPr>
          <w:sz w:val="20"/>
          <w:lang w:val="fr-CA"/>
        </w:rPr>
        <w:t xml:space="preserve"> </w:t>
      </w:r>
      <w:r w:rsidR="00E11900" w:rsidRPr="00DC2AAA">
        <w:rPr>
          <w:sz w:val="20"/>
          <w:lang w:val="fr-CA"/>
        </w:rPr>
        <w:t xml:space="preserve"> </w:t>
      </w:r>
    </w:p>
    <w:p w14:paraId="3CB917C0" w14:textId="7010C5FC" w:rsidR="00437432" w:rsidRPr="00884B20" w:rsidRDefault="00C913B9">
      <w:pPr>
        <w:pStyle w:val="ListParagraph"/>
        <w:numPr>
          <w:ilvl w:val="2"/>
          <w:numId w:val="1"/>
        </w:numPr>
        <w:tabs>
          <w:tab w:val="left" w:pos="839"/>
          <w:tab w:val="left" w:pos="840"/>
        </w:tabs>
        <w:ind w:right="391"/>
        <w:rPr>
          <w:sz w:val="20"/>
          <w:lang w:val="fr-CA"/>
        </w:rPr>
      </w:pPr>
      <w:r w:rsidRPr="0093219E">
        <w:rPr>
          <w:sz w:val="20"/>
          <w:lang w:val="fr-CA"/>
        </w:rPr>
        <w:t>Re</w:t>
      </w:r>
      <w:r w:rsidR="00DC72C7" w:rsidRPr="0093219E">
        <w:rPr>
          <w:sz w:val="20"/>
          <w:lang w:val="fr-CA"/>
        </w:rPr>
        <w:t>gistres</w:t>
      </w:r>
      <w:r w:rsidR="00884B20">
        <w:rPr>
          <w:sz w:val="20"/>
          <w:lang w:val="fr-CA"/>
        </w:rPr>
        <w:t> </w:t>
      </w:r>
      <w:r w:rsidRPr="0093219E">
        <w:rPr>
          <w:sz w:val="20"/>
          <w:lang w:val="fr-CA"/>
        </w:rPr>
        <w:t xml:space="preserve">: </w:t>
      </w:r>
      <w:r w:rsidR="00382839" w:rsidRPr="0093219E">
        <w:rPr>
          <w:sz w:val="20"/>
          <w:lang w:val="fr-CA"/>
        </w:rPr>
        <w:t>La d</w:t>
      </w:r>
      <w:r w:rsidR="0093219E" w:rsidRPr="0093219E">
        <w:rPr>
          <w:sz w:val="20"/>
          <w:lang w:val="fr-CA"/>
        </w:rPr>
        <w:t>é</w:t>
      </w:r>
      <w:r w:rsidR="00382839" w:rsidRPr="0093219E">
        <w:rPr>
          <w:sz w:val="20"/>
          <w:lang w:val="fr-CA"/>
        </w:rPr>
        <w:t>claration de conflit d’intérêt</w:t>
      </w:r>
      <w:r w:rsidR="00884B20">
        <w:rPr>
          <w:sz w:val="20"/>
          <w:lang w:val="fr-CA"/>
        </w:rPr>
        <w:t>s</w:t>
      </w:r>
      <w:r w:rsidR="00382839" w:rsidRPr="0093219E">
        <w:rPr>
          <w:sz w:val="20"/>
          <w:lang w:val="fr-CA"/>
        </w:rPr>
        <w:t xml:space="preserve"> et </w:t>
      </w:r>
      <w:r w:rsidR="0093219E" w:rsidRPr="0093219E">
        <w:rPr>
          <w:sz w:val="20"/>
          <w:lang w:val="fr-CA"/>
        </w:rPr>
        <w:t xml:space="preserve">le nom des </w:t>
      </w:r>
      <w:r w:rsidR="0093219E">
        <w:rPr>
          <w:sz w:val="20"/>
          <w:lang w:val="fr-CA"/>
        </w:rPr>
        <w:t>personnes</w:t>
      </w:r>
      <w:r w:rsidR="0093219E" w:rsidRPr="0093219E">
        <w:rPr>
          <w:sz w:val="20"/>
          <w:lang w:val="fr-CA"/>
        </w:rPr>
        <w:t xml:space="preserve"> ayant effectué la déclaration </w:t>
      </w:r>
      <w:r w:rsidR="00382839" w:rsidRPr="0093219E">
        <w:rPr>
          <w:sz w:val="20"/>
          <w:lang w:val="fr-CA"/>
        </w:rPr>
        <w:t>s</w:t>
      </w:r>
      <w:r w:rsidR="0093219E" w:rsidRPr="0093219E">
        <w:rPr>
          <w:sz w:val="20"/>
          <w:lang w:val="fr-CA"/>
        </w:rPr>
        <w:t>e</w:t>
      </w:r>
      <w:r w:rsidR="005E6783">
        <w:rPr>
          <w:sz w:val="20"/>
          <w:lang w:val="fr-CA"/>
        </w:rPr>
        <w:t>ra</w:t>
      </w:r>
      <w:r w:rsidR="0093219E" w:rsidRPr="0093219E">
        <w:rPr>
          <w:sz w:val="20"/>
          <w:lang w:val="fr-CA"/>
        </w:rPr>
        <w:t xml:space="preserve"> </w:t>
      </w:r>
      <w:r w:rsidR="00382839" w:rsidRPr="0093219E">
        <w:rPr>
          <w:sz w:val="20"/>
          <w:lang w:val="fr-CA"/>
        </w:rPr>
        <w:t xml:space="preserve">indiqué dans les </w:t>
      </w:r>
      <w:r w:rsidR="0093219E" w:rsidRPr="0093219E">
        <w:rPr>
          <w:sz w:val="20"/>
          <w:lang w:val="fr-CA"/>
        </w:rPr>
        <w:t>procès-verbaux</w:t>
      </w:r>
      <w:r w:rsidR="00382839" w:rsidRPr="0093219E">
        <w:rPr>
          <w:sz w:val="20"/>
          <w:lang w:val="fr-CA"/>
        </w:rPr>
        <w:t xml:space="preserve"> officiels du conseil, de l’assemblée annuelle et des comités</w:t>
      </w:r>
      <w:r w:rsidR="0093219E" w:rsidRPr="0093219E">
        <w:rPr>
          <w:sz w:val="20"/>
          <w:lang w:val="fr-CA"/>
        </w:rPr>
        <w:t>.</w:t>
      </w:r>
      <w:r w:rsidR="0093219E">
        <w:rPr>
          <w:sz w:val="20"/>
          <w:lang w:val="fr-CA"/>
        </w:rPr>
        <w:t xml:space="preserve"> </w:t>
      </w:r>
      <w:r w:rsidR="0093219E" w:rsidRPr="0093219E">
        <w:rPr>
          <w:sz w:val="20"/>
          <w:lang w:val="fr-CA"/>
        </w:rPr>
        <w:t>Ils devront également mentionn</w:t>
      </w:r>
      <w:r w:rsidR="00884B20">
        <w:rPr>
          <w:sz w:val="20"/>
          <w:lang w:val="fr-CA"/>
        </w:rPr>
        <w:t>er</w:t>
      </w:r>
      <w:r w:rsidR="0093219E" w:rsidRPr="0093219E">
        <w:rPr>
          <w:sz w:val="20"/>
          <w:lang w:val="fr-CA"/>
        </w:rPr>
        <w:t xml:space="preserve"> que les personnes se sont retirées de la r</w:t>
      </w:r>
      <w:r w:rsidR="0093219E">
        <w:rPr>
          <w:sz w:val="20"/>
          <w:lang w:val="fr-CA"/>
        </w:rPr>
        <w:t>é</w:t>
      </w:r>
      <w:r w:rsidR="0093219E" w:rsidRPr="0093219E">
        <w:rPr>
          <w:sz w:val="20"/>
          <w:lang w:val="fr-CA"/>
        </w:rPr>
        <w:t xml:space="preserve">union. </w:t>
      </w:r>
    </w:p>
    <w:p w14:paraId="23D10827" w14:textId="42377644" w:rsidR="00437432" w:rsidRPr="00884B20" w:rsidRDefault="0093219E">
      <w:pPr>
        <w:pStyle w:val="ListParagraph"/>
        <w:numPr>
          <w:ilvl w:val="2"/>
          <w:numId w:val="1"/>
        </w:numPr>
        <w:tabs>
          <w:tab w:val="left" w:pos="839"/>
          <w:tab w:val="left" w:pos="840"/>
        </w:tabs>
        <w:ind w:right="121"/>
        <w:rPr>
          <w:sz w:val="20"/>
          <w:lang w:val="fr-CA"/>
        </w:rPr>
      </w:pPr>
      <w:r w:rsidRPr="00884B20">
        <w:rPr>
          <w:sz w:val="20"/>
          <w:lang w:val="fr-CA"/>
        </w:rPr>
        <w:t>Déclaration après le fait</w:t>
      </w:r>
      <w:r w:rsidR="00884B20">
        <w:rPr>
          <w:sz w:val="20"/>
          <w:lang w:val="fr-CA"/>
        </w:rPr>
        <w:t> </w:t>
      </w:r>
      <w:r w:rsidR="00C913B9" w:rsidRPr="00884B20">
        <w:rPr>
          <w:sz w:val="20"/>
          <w:lang w:val="fr-CA"/>
        </w:rPr>
        <w:t xml:space="preserve">: </w:t>
      </w:r>
      <w:r w:rsidRPr="00884B20">
        <w:rPr>
          <w:sz w:val="20"/>
          <w:lang w:val="fr-CA"/>
        </w:rPr>
        <w:t xml:space="preserve">dans le cas </w:t>
      </w:r>
      <w:r w:rsidR="00884B20" w:rsidRPr="00884B20">
        <w:rPr>
          <w:sz w:val="20"/>
          <w:lang w:val="fr-CA"/>
        </w:rPr>
        <w:t>où</w:t>
      </w:r>
      <w:r w:rsidRPr="00884B20">
        <w:rPr>
          <w:sz w:val="20"/>
          <w:lang w:val="fr-CA"/>
        </w:rPr>
        <w:t xml:space="preserve"> </w:t>
      </w:r>
      <w:r w:rsidR="00884B20" w:rsidRPr="00884B20">
        <w:rPr>
          <w:sz w:val="20"/>
          <w:lang w:val="fr-CA"/>
        </w:rPr>
        <w:t>un</w:t>
      </w:r>
      <w:r w:rsidRPr="00884B20">
        <w:rPr>
          <w:sz w:val="20"/>
          <w:lang w:val="fr-CA"/>
        </w:rPr>
        <w:t xml:space="preserve"> conflit d’intérêt</w:t>
      </w:r>
      <w:r w:rsidR="00884B20">
        <w:rPr>
          <w:sz w:val="20"/>
          <w:lang w:val="fr-CA"/>
        </w:rPr>
        <w:t>s</w:t>
      </w:r>
      <w:r w:rsidRPr="00884B20">
        <w:rPr>
          <w:sz w:val="20"/>
          <w:lang w:val="fr-CA"/>
        </w:rPr>
        <w:t xml:space="preserve"> est </w:t>
      </w:r>
      <w:r w:rsidR="00884B20" w:rsidRPr="00884B20">
        <w:rPr>
          <w:sz w:val="20"/>
          <w:lang w:val="fr-CA"/>
        </w:rPr>
        <w:t>déclaré après la prise de décision, le ou les membres faisant la déclaration devront se retirer de la réunion et le sujet sera réabordé. Un nouveau vote sera effectué en vue d’éliminer la partialité de la discussion précédente</w:t>
      </w:r>
      <w:r w:rsidR="00884B20">
        <w:rPr>
          <w:sz w:val="20"/>
          <w:lang w:val="fr-CA"/>
        </w:rPr>
        <w:t xml:space="preserve">. </w:t>
      </w:r>
    </w:p>
    <w:p w14:paraId="25328D1F" w14:textId="77777777" w:rsidR="00437432" w:rsidRPr="00884B20" w:rsidRDefault="00437432">
      <w:pPr>
        <w:pStyle w:val="BodyText"/>
        <w:rPr>
          <w:lang w:val="fr-CA"/>
        </w:rPr>
      </w:pPr>
    </w:p>
    <w:p w14:paraId="1F5CA6A5" w14:textId="77777777" w:rsidR="00437432" w:rsidRPr="00884B20" w:rsidRDefault="00437432">
      <w:pPr>
        <w:pStyle w:val="BodyText"/>
        <w:rPr>
          <w:lang w:val="fr-CA"/>
        </w:rPr>
      </w:pPr>
    </w:p>
    <w:p w14:paraId="4071CD40" w14:textId="77777777" w:rsidR="00437432" w:rsidRPr="00884B20" w:rsidRDefault="00437432">
      <w:pPr>
        <w:pStyle w:val="BodyText"/>
        <w:rPr>
          <w:lang w:val="fr-CA"/>
        </w:rPr>
      </w:pPr>
    </w:p>
    <w:p w14:paraId="68DBEAC3" w14:textId="77777777" w:rsidR="00437432" w:rsidRPr="00884B20" w:rsidRDefault="00437432">
      <w:pPr>
        <w:pStyle w:val="BodyText"/>
        <w:rPr>
          <w:lang w:val="fr-CA"/>
        </w:rPr>
      </w:pPr>
    </w:p>
    <w:p w14:paraId="57CA24DD" w14:textId="77777777" w:rsidR="00437432" w:rsidRPr="00884B20" w:rsidRDefault="00437432">
      <w:pPr>
        <w:pStyle w:val="BodyText"/>
        <w:spacing w:before="11"/>
        <w:rPr>
          <w:sz w:val="17"/>
          <w:lang w:val="fr-CA"/>
        </w:rPr>
      </w:pPr>
    </w:p>
    <w:p w14:paraId="00F50CF4" w14:textId="67949977" w:rsidR="00437432" w:rsidRPr="00D25C86" w:rsidRDefault="00D25C86">
      <w:pPr>
        <w:spacing w:before="56"/>
        <w:ind w:left="120"/>
        <w:rPr>
          <w:sz w:val="18"/>
          <w:szCs w:val="18"/>
          <w:lang w:val="fr-CA"/>
        </w:rPr>
      </w:pPr>
      <w:r w:rsidRPr="00D25C86">
        <w:rPr>
          <w:sz w:val="18"/>
          <w:szCs w:val="18"/>
          <w:lang w:val="fr-CA"/>
        </w:rPr>
        <w:lastRenderedPageBreak/>
        <w:t xml:space="preserve">Date </w:t>
      </w:r>
      <w:r>
        <w:rPr>
          <w:sz w:val="18"/>
          <w:szCs w:val="18"/>
          <w:lang w:val="fr-CA"/>
        </w:rPr>
        <w:t>d’ap</w:t>
      </w:r>
      <w:r w:rsidR="00884B20">
        <w:rPr>
          <w:sz w:val="18"/>
          <w:szCs w:val="18"/>
          <w:lang w:val="fr-CA"/>
        </w:rPr>
        <w:t>p</w:t>
      </w:r>
      <w:r>
        <w:rPr>
          <w:sz w:val="18"/>
          <w:szCs w:val="18"/>
          <w:lang w:val="fr-CA"/>
        </w:rPr>
        <w:t>robation</w:t>
      </w:r>
      <w:r w:rsidR="00884B20">
        <w:rPr>
          <w:sz w:val="18"/>
          <w:szCs w:val="18"/>
          <w:lang w:val="fr-CA"/>
        </w:rPr>
        <w:t> </w:t>
      </w:r>
      <w:r w:rsidR="00C913B9" w:rsidRPr="00D25C86">
        <w:rPr>
          <w:sz w:val="18"/>
          <w:szCs w:val="18"/>
          <w:lang w:val="fr-CA"/>
        </w:rPr>
        <w:t xml:space="preserve">: </w:t>
      </w:r>
      <w:r w:rsidRPr="00D25C86">
        <w:rPr>
          <w:sz w:val="18"/>
          <w:szCs w:val="18"/>
          <w:lang w:val="fr-CA"/>
        </w:rPr>
        <w:t>24</w:t>
      </w:r>
      <w:r w:rsidR="00884B20">
        <w:rPr>
          <w:sz w:val="18"/>
          <w:szCs w:val="18"/>
          <w:lang w:val="fr-CA"/>
        </w:rPr>
        <w:t> </w:t>
      </w:r>
      <w:r w:rsidRPr="00D25C86">
        <w:rPr>
          <w:sz w:val="18"/>
          <w:szCs w:val="18"/>
          <w:lang w:val="fr-CA"/>
        </w:rPr>
        <w:t>avril</w:t>
      </w:r>
      <w:r w:rsidR="00C913B9" w:rsidRPr="00D25C86">
        <w:rPr>
          <w:sz w:val="18"/>
          <w:szCs w:val="18"/>
          <w:lang w:val="fr-CA"/>
        </w:rPr>
        <w:t xml:space="preserve"> 2018 | R</w:t>
      </w:r>
      <w:r>
        <w:rPr>
          <w:sz w:val="18"/>
          <w:szCs w:val="18"/>
          <w:lang w:val="fr-CA"/>
        </w:rPr>
        <w:t>é</w:t>
      </w:r>
      <w:r w:rsidR="00C913B9" w:rsidRPr="00D25C86">
        <w:rPr>
          <w:sz w:val="18"/>
          <w:szCs w:val="18"/>
          <w:lang w:val="fr-CA"/>
        </w:rPr>
        <w:t>vis</w:t>
      </w:r>
      <w:r w:rsidRPr="00D25C86">
        <w:rPr>
          <w:sz w:val="18"/>
          <w:szCs w:val="18"/>
          <w:lang w:val="fr-CA"/>
        </w:rPr>
        <w:t>é</w:t>
      </w:r>
      <w:r w:rsidR="00884B20">
        <w:rPr>
          <w:sz w:val="18"/>
          <w:szCs w:val="18"/>
          <w:lang w:val="fr-CA"/>
        </w:rPr>
        <w:t> </w:t>
      </w:r>
      <w:r w:rsidR="00C913B9" w:rsidRPr="00D25C86">
        <w:rPr>
          <w:sz w:val="18"/>
          <w:szCs w:val="18"/>
          <w:lang w:val="fr-CA"/>
        </w:rPr>
        <w:t xml:space="preserve">: </w:t>
      </w:r>
      <w:r>
        <w:rPr>
          <w:sz w:val="18"/>
          <w:szCs w:val="18"/>
          <w:lang w:val="fr-CA"/>
        </w:rPr>
        <w:t>octobre</w:t>
      </w:r>
      <w:r w:rsidR="00C913B9" w:rsidRPr="00D25C86">
        <w:rPr>
          <w:sz w:val="18"/>
          <w:szCs w:val="18"/>
          <w:lang w:val="fr-CA"/>
        </w:rPr>
        <w:t xml:space="preserve"> 2019</w:t>
      </w:r>
    </w:p>
    <w:sectPr w:rsidR="00437432" w:rsidRPr="00D25C86">
      <w:type w:val="continuous"/>
      <w:pgSz w:w="12240" w:h="15840"/>
      <w:pgMar w:top="70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F76A" w14:textId="77777777" w:rsidR="00157F41" w:rsidRDefault="00157F41" w:rsidP="00884B20">
      <w:r>
        <w:separator/>
      </w:r>
    </w:p>
  </w:endnote>
  <w:endnote w:type="continuationSeparator" w:id="0">
    <w:p w14:paraId="3A5CEAC4" w14:textId="77777777" w:rsidR="00157F41" w:rsidRDefault="00157F41" w:rsidP="008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8159" w14:textId="77777777" w:rsidR="00157F41" w:rsidRDefault="00157F41" w:rsidP="00884B20">
      <w:r>
        <w:separator/>
      </w:r>
    </w:p>
  </w:footnote>
  <w:footnote w:type="continuationSeparator" w:id="0">
    <w:p w14:paraId="1985121B" w14:textId="77777777" w:rsidR="00157F41" w:rsidRDefault="00157F41" w:rsidP="0088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3A0"/>
    <w:multiLevelType w:val="multilevel"/>
    <w:tmpl w:val="ED3CC808"/>
    <w:lvl w:ilvl="0">
      <w:start w:val="7"/>
      <w:numFmt w:val="decimal"/>
      <w:lvlText w:val="%1"/>
      <w:lvlJc w:val="left"/>
      <w:pPr>
        <w:ind w:left="120" w:hanging="254"/>
        <w:jc w:val="left"/>
      </w:pPr>
      <w:rPr>
        <w:rFonts w:hint="default"/>
        <w:lang w:val="en-CA" w:eastAsia="en-CA" w:bidi="en-CA"/>
      </w:rPr>
    </w:lvl>
    <w:lvl w:ilvl="1">
      <w:start w:val="1"/>
      <w:numFmt w:val="decimal"/>
      <w:lvlText w:val="%1.%2"/>
      <w:lvlJc w:val="left"/>
      <w:pPr>
        <w:ind w:left="120" w:hanging="254"/>
        <w:jc w:val="left"/>
      </w:pPr>
      <w:rPr>
        <w:rFonts w:ascii="Calibri" w:eastAsia="Calibri" w:hAnsi="Calibri" w:cs="Calibri" w:hint="default"/>
        <w:spacing w:val="-1"/>
        <w:w w:val="99"/>
        <w:sz w:val="18"/>
        <w:szCs w:val="18"/>
        <w:lang w:val="en-CA" w:eastAsia="en-CA" w:bidi="en-CA"/>
      </w:rPr>
    </w:lvl>
    <w:lvl w:ilvl="2">
      <w:start w:val="1"/>
      <w:numFmt w:val="decimal"/>
      <w:lvlText w:val="%3."/>
      <w:lvlJc w:val="left"/>
      <w:pPr>
        <w:ind w:left="839" w:hanging="360"/>
        <w:jc w:val="left"/>
      </w:pPr>
      <w:rPr>
        <w:rFonts w:ascii="Calibri" w:eastAsia="Calibri" w:hAnsi="Calibri" w:cs="Calibri" w:hint="default"/>
        <w:spacing w:val="-1"/>
        <w:w w:val="99"/>
        <w:sz w:val="20"/>
        <w:szCs w:val="20"/>
        <w:lang w:val="en-CA" w:eastAsia="en-CA" w:bidi="en-CA"/>
      </w:rPr>
    </w:lvl>
    <w:lvl w:ilvl="3">
      <w:start w:val="1"/>
      <w:numFmt w:val="lowerLetter"/>
      <w:lvlText w:val="%4."/>
      <w:lvlJc w:val="left"/>
      <w:pPr>
        <w:ind w:left="1380" w:hanging="360"/>
        <w:jc w:val="left"/>
      </w:pPr>
      <w:rPr>
        <w:rFonts w:ascii="Calibri" w:eastAsia="Calibri" w:hAnsi="Calibri" w:cs="Calibri" w:hint="default"/>
        <w:w w:val="99"/>
        <w:sz w:val="20"/>
        <w:szCs w:val="20"/>
        <w:lang w:val="en-CA" w:eastAsia="en-CA" w:bidi="en-CA"/>
      </w:rPr>
    </w:lvl>
    <w:lvl w:ilvl="4">
      <w:numFmt w:val="bullet"/>
      <w:lvlText w:val="•"/>
      <w:lvlJc w:val="left"/>
      <w:pPr>
        <w:ind w:left="3610" w:hanging="360"/>
      </w:pPr>
      <w:rPr>
        <w:rFonts w:hint="default"/>
        <w:lang w:val="en-CA" w:eastAsia="en-CA" w:bidi="en-CA"/>
      </w:rPr>
    </w:lvl>
    <w:lvl w:ilvl="5">
      <w:numFmt w:val="bullet"/>
      <w:lvlText w:val="•"/>
      <w:lvlJc w:val="left"/>
      <w:pPr>
        <w:ind w:left="4725" w:hanging="360"/>
      </w:pPr>
      <w:rPr>
        <w:rFonts w:hint="default"/>
        <w:lang w:val="en-CA" w:eastAsia="en-CA" w:bidi="en-CA"/>
      </w:rPr>
    </w:lvl>
    <w:lvl w:ilvl="6">
      <w:numFmt w:val="bullet"/>
      <w:lvlText w:val="•"/>
      <w:lvlJc w:val="left"/>
      <w:pPr>
        <w:ind w:left="5840" w:hanging="360"/>
      </w:pPr>
      <w:rPr>
        <w:rFonts w:hint="default"/>
        <w:lang w:val="en-CA" w:eastAsia="en-CA" w:bidi="en-CA"/>
      </w:rPr>
    </w:lvl>
    <w:lvl w:ilvl="7">
      <w:numFmt w:val="bullet"/>
      <w:lvlText w:val="•"/>
      <w:lvlJc w:val="left"/>
      <w:pPr>
        <w:ind w:left="6955" w:hanging="360"/>
      </w:pPr>
      <w:rPr>
        <w:rFonts w:hint="default"/>
        <w:lang w:val="en-CA" w:eastAsia="en-CA" w:bidi="en-CA"/>
      </w:rPr>
    </w:lvl>
    <w:lvl w:ilvl="8">
      <w:numFmt w:val="bullet"/>
      <w:lvlText w:val="•"/>
      <w:lvlJc w:val="left"/>
      <w:pPr>
        <w:ind w:left="8070"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2"/>
    <w:rsid w:val="00114C83"/>
    <w:rsid w:val="00157F41"/>
    <w:rsid w:val="001C0F70"/>
    <w:rsid w:val="00282F73"/>
    <w:rsid w:val="00382839"/>
    <w:rsid w:val="00437432"/>
    <w:rsid w:val="00511E85"/>
    <w:rsid w:val="005D7759"/>
    <w:rsid w:val="005E6783"/>
    <w:rsid w:val="006D1274"/>
    <w:rsid w:val="00760621"/>
    <w:rsid w:val="007C7F5E"/>
    <w:rsid w:val="007D176A"/>
    <w:rsid w:val="00884B20"/>
    <w:rsid w:val="008A3000"/>
    <w:rsid w:val="0093219E"/>
    <w:rsid w:val="009637EA"/>
    <w:rsid w:val="00993A43"/>
    <w:rsid w:val="00A571D2"/>
    <w:rsid w:val="00A5736A"/>
    <w:rsid w:val="00AB6026"/>
    <w:rsid w:val="00AF08AB"/>
    <w:rsid w:val="00B86D23"/>
    <w:rsid w:val="00C14AEF"/>
    <w:rsid w:val="00C913B9"/>
    <w:rsid w:val="00CF194E"/>
    <w:rsid w:val="00D25C86"/>
    <w:rsid w:val="00DC2AAA"/>
    <w:rsid w:val="00DC72C7"/>
    <w:rsid w:val="00E11900"/>
    <w:rsid w:val="00E12DE7"/>
    <w:rsid w:val="00E84459"/>
    <w:rsid w:val="00E855CE"/>
    <w:rsid w:val="00EA4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2218"/>
  <w15:docId w15:val="{48F2858F-4855-4470-8751-174E7C9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B20"/>
    <w:pPr>
      <w:tabs>
        <w:tab w:val="center" w:pos="4680"/>
        <w:tab w:val="right" w:pos="9360"/>
      </w:tabs>
    </w:pPr>
  </w:style>
  <w:style w:type="character" w:customStyle="1" w:styleId="HeaderChar">
    <w:name w:val="Header Char"/>
    <w:basedOn w:val="DefaultParagraphFont"/>
    <w:link w:val="Header"/>
    <w:uiPriority w:val="99"/>
    <w:rsid w:val="00884B20"/>
    <w:rPr>
      <w:rFonts w:ascii="Calibri" w:eastAsia="Calibri" w:hAnsi="Calibri" w:cs="Calibri"/>
      <w:lang w:val="en-CA" w:eastAsia="en-CA" w:bidi="en-CA"/>
    </w:rPr>
  </w:style>
  <w:style w:type="paragraph" w:styleId="Footer">
    <w:name w:val="footer"/>
    <w:basedOn w:val="Normal"/>
    <w:link w:val="FooterChar"/>
    <w:uiPriority w:val="99"/>
    <w:unhideWhenUsed/>
    <w:rsid w:val="00884B20"/>
    <w:pPr>
      <w:tabs>
        <w:tab w:val="center" w:pos="4680"/>
        <w:tab w:val="right" w:pos="9360"/>
      </w:tabs>
    </w:pPr>
  </w:style>
  <w:style w:type="character" w:customStyle="1" w:styleId="FooterChar">
    <w:name w:val="Footer Char"/>
    <w:basedOn w:val="DefaultParagraphFont"/>
    <w:link w:val="Footer"/>
    <w:uiPriority w:val="99"/>
    <w:rsid w:val="00884B20"/>
    <w:rPr>
      <w:rFonts w:ascii="Calibri" w:eastAsia="Calibri" w:hAnsi="Calibri" w:cs="Calibri"/>
      <w:lang w:val="en-CA" w:eastAsia="en-CA" w:bidi="en-CA"/>
    </w:rPr>
  </w:style>
  <w:style w:type="paragraph" w:styleId="BalloonText">
    <w:name w:val="Balloon Text"/>
    <w:basedOn w:val="Normal"/>
    <w:link w:val="BalloonTextChar"/>
    <w:uiPriority w:val="99"/>
    <w:semiHidden/>
    <w:unhideWhenUsed/>
    <w:rsid w:val="005E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83"/>
    <w:rPr>
      <w:rFonts w:ascii="Segoe UI" w:eastAsia="Calibri"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OSGA 55+</dc:creator>
  <cp:lastModifiedBy>Fanny Joanisse-Benoit</cp:lastModifiedBy>
  <cp:revision>12</cp:revision>
  <dcterms:created xsi:type="dcterms:W3CDTF">2020-02-18T01:34:00Z</dcterms:created>
  <dcterms:modified xsi:type="dcterms:W3CDTF">2020-02-23T01:59:00Z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11 for Word</vt:lpwstr>
  </property>
  <property fmtid="{D5CDD505-2E9C-101B-9397-08002B2CF9AE}" pid="4" name="LastSaved">
    <vt:filetime>2020-02-13T00:00:00Z</vt:filetime>
  </property>
</Properties>
</file>